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8E2017">
                              <w:rPr>
                                <w:rStyle w:val="Strong"/>
                                <w:color w:val="1F497D" w:themeColor="text2"/>
                              </w:rPr>
                              <w:t>January 6,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8E2017">
                        <w:rPr>
                          <w:rStyle w:val="Strong"/>
                          <w:color w:val="1F497D" w:themeColor="text2"/>
                        </w:rPr>
                        <w:t>January 6,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737F12">
        <w:t>Kathy Woods (Lewin)</w:t>
      </w:r>
    </w:p>
    <w:p w:rsidR="004F0983" w:rsidRPr="0055694A" w:rsidRDefault="00CD4F0D" w:rsidP="004F0983">
      <w:pPr>
        <w:pStyle w:val="NoSpacing"/>
      </w:pPr>
      <w:r w:rsidRPr="00382C14">
        <w:rPr>
          <w:b/>
        </w:rPr>
        <w:t>Core Member Attendance:</w:t>
      </w:r>
      <w:r w:rsidRPr="00382C14">
        <w:t xml:space="preserve">  </w:t>
      </w:r>
      <w:r>
        <w:t>Jay Yoe (DHHS/OCQI), Peter Flotten (MHMC),</w:t>
      </w:r>
      <w:r w:rsidRPr="00A028AE">
        <w:t xml:space="preserve"> </w:t>
      </w:r>
      <w:r>
        <w:t>Katherine Pelletreau (ME Assoc. of Health Plans), Peter Kraut (DHHS/MaineCare),</w:t>
      </w:r>
      <w:r w:rsidRPr="004004DD">
        <w:t xml:space="preserve"> </w:t>
      </w:r>
      <w:proofErr w:type="spellStart"/>
      <w:r w:rsidR="00737F12" w:rsidRPr="00135879">
        <w:t>Sadel</w:t>
      </w:r>
      <w:proofErr w:type="spellEnd"/>
      <w:r w:rsidR="00737F12" w:rsidRPr="00135879">
        <w:t xml:space="preserve"> Davis</w:t>
      </w:r>
      <w:r w:rsidR="00737F12">
        <w:t xml:space="preserve"> (UPC of Maine),</w:t>
      </w:r>
      <w:r w:rsidR="0055694A" w:rsidRPr="0055694A">
        <w:t xml:space="preserve"> </w:t>
      </w:r>
      <w:r w:rsidR="0055694A">
        <w:t xml:space="preserve">Jim Leonard (DHHS/MaineCare), </w:t>
      </w:r>
      <w:r w:rsidR="004F0983">
        <w:t xml:space="preserve">Poppy Arford (Consumer), </w:t>
      </w:r>
      <w:r w:rsidR="00FE477B">
        <w:t xml:space="preserve">Shaun </w:t>
      </w:r>
      <w:proofErr w:type="spellStart"/>
      <w:r w:rsidR="00FE477B">
        <w:t>Alfreds</w:t>
      </w:r>
      <w:proofErr w:type="spellEnd"/>
      <w:r w:rsidR="00FE477B">
        <w:t xml:space="preserve"> (HealthInfoN</w:t>
      </w:r>
      <w:r w:rsidR="004F0983" w:rsidRPr="00132219">
        <w:t>et</w:t>
      </w:r>
      <w:r w:rsidR="004F0983">
        <w:t>),</w:t>
      </w:r>
      <w:r w:rsidR="004F0983" w:rsidRPr="004F0983">
        <w:t xml:space="preserve"> </w:t>
      </w:r>
      <w:r w:rsidR="004F0983">
        <w:t>Amy Dix (Office of MaineCare Services), Chuck Pritchard (Maine Quality Counts)</w:t>
      </w:r>
      <w:r w:rsidR="009A26C6">
        <w:t>, Andrew MacLean (Maine Medical Association),</w:t>
      </w:r>
      <w:r w:rsidR="00FE477B">
        <w:t xml:space="preserve"> Debra </w:t>
      </w:r>
      <w:r w:rsidR="00305B46">
        <w:t>Wigand (Maine CDC)</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55694A">
        <w:t xml:space="preserve"> David Hanig (Lewin),</w:t>
      </w:r>
      <w:r w:rsidR="00B10C95" w:rsidRPr="00382C14">
        <w:t xml:space="preserve"> </w:t>
      </w:r>
      <w:r w:rsidR="0055694A">
        <w:t>Tanya Disney (Lewin),</w:t>
      </w:r>
      <w:r w:rsidR="0055694A">
        <w:rPr>
          <w:b/>
        </w:rPr>
        <w:t xml:space="preserve"> </w:t>
      </w:r>
      <w:r w:rsidR="006C04F9">
        <w:t>Jade Christie-Maples (Lewin),</w:t>
      </w:r>
      <w:r w:rsidR="00B96C14">
        <w:t xml:space="preserve"> </w:t>
      </w:r>
      <w:r w:rsidR="004F0983">
        <w:t>Brian Robertson (Market Decisions), Mark Noyes (Market Decisions)</w:t>
      </w:r>
      <w:r w:rsidR="009A26C6">
        <w:t>,</w:t>
      </w:r>
      <w:r w:rsidR="00FE477B">
        <w:t xml:space="preserve"> Curtis Mildner (Market Decisions</w:t>
      </w:r>
      <w:r w:rsidR="00533449">
        <w:t>)</w:t>
      </w:r>
      <w:r w:rsidR="00FE477B">
        <w:t xml:space="preserve">, </w:t>
      </w:r>
      <w:r w:rsidR="009A26C6">
        <w:t>Randy Chenard (Maine SIM)</w:t>
      </w:r>
      <w:r w:rsidR="00FE477B">
        <w:t>, Jennifer MacDonald (MaineCare), Nadine Edris (University of Southern Maine), Catherine Chichester (Co-Occurring Collaborative Serving Maine),</w:t>
      </w:r>
      <w:r w:rsidR="00305B46">
        <w:t xml:space="preserve"> </w:t>
      </w:r>
      <w:r w:rsidR="00305B46">
        <w:t>Kristine Ossenfort (Anthem BCBS)</w:t>
      </w:r>
      <w:r w:rsidR="00305B46">
        <w:t>, David Winslow (Maine Hospital Association)</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w:t>
      </w:r>
      <w:r w:rsidR="008E2017">
        <w:t xml:space="preserve">Amy Wagner (DHHS/OCQI), </w:t>
      </w:r>
      <w:proofErr w:type="spellStart"/>
      <w:r w:rsidR="00132219">
        <w:t>Simonne</w:t>
      </w:r>
      <w:proofErr w:type="spellEnd"/>
      <w:r w:rsidR="00132219">
        <w:t xml:space="preserve"> </w:t>
      </w:r>
      <w:proofErr w:type="spellStart"/>
      <w:r w:rsidR="00132219">
        <w:t>Maline</w:t>
      </w:r>
      <w:proofErr w:type="spellEnd"/>
      <w:r w:rsidR="00132219">
        <w:t xml:space="preserve"> (Consumer), </w:t>
      </w:r>
      <w:r w:rsidRPr="00132219">
        <w:t>Sheryl</w:t>
      </w:r>
      <w:r>
        <w:t xml:space="preserve"> Peave</w:t>
      </w:r>
      <w:r w:rsidR="00132219">
        <w:t>y (DHHS/C</w:t>
      </w:r>
      <w:r w:rsidR="00A028AE">
        <w:t>ommissioner’s Office</w:t>
      </w:r>
      <w:r w:rsidR="00A028AE" w:rsidRPr="00135879">
        <w:t>)</w:t>
      </w:r>
      <w:r w:rsidR="00135879" w:rsidRPr="00135879">
        <w:t>,</w:t>
      </w:r>
      <w:r w:rsidR="007C76B8">
        <w:t xml:space="preserve"> </w:t>
      </w:r>
      <w:r w:rsidR="004F0983" w:rsidRPr="00737F12">
        <w:t xml:space="preserve">Cindy Seekins (Parent </w:t>
      </w:r>
      <w:r w:rsidR="004F0983">
        <w:t>of Consumer),</w:t>
      </w:r>
      <w:r w:rsidR="00FE477B">
        <w:t xml:space="preserve"> </w:t>
      </w:r>
      <w:r w:rsidR="00FE477B" w:rsidRPr="00135879">
        <w:t xml:space="preserve">Angela Cole </w:t>
      </w:r>
      <w:proofErr w:type="spellStart"/>
      <w:r w:rsidR="00FE477B" w:rsidRPr="00135879">
        <w:t>Westhoff</w:t>
      </w:r>
      <w:proofErr w:type="spellEnd"/>
      <w:r w:rsidR="00FE477B" w:rsidRPr="00135879">
        <w:t xml:space="preserve"> </w:t>
      </w:r>
      <w:r w:rsidR="00533449">
        <w:t>(Maine Osteopathic Association)</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t>Welcome and Introductions</w:t>
            </w:r>
          </w:p>
        </w:tc>
        <w:tc>
          <w:tcPr>
            <w:tcW w:w="1350" w:type="dxa"/>
          </w:tcPr>
          <w:p w:rsidR="008E2017" w:rsidRPr="00382C14" w:rsidRDefault="008E2017"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tc>
        <w:tc>
          <w:tcPr>
            <w:tcW w:w="5130" w:type="dxa"/>
          </w:tcPr>
          <w:p w:rsidR="008E2017" w:rsidRPr="00D323AF" w:rsidRDefault="008E2017" w:rsidP="009A1CD3">
            <w:pPr>
              <w:pStyle w:val="ListParagraph"/>
              <w:ind w:left="360"/>
              <w:rPr>
                <w:rFonts w:cstheme="minorHAnsi"/>
              </w:rPr>
            </w:pPr>
          </w:p>
        </w:tc>
        <w:tc>
          <w:tcPr>
            <w:tcW w:w="4604" w:type="dxa"/>
          </w:tcPr>
          <w:p w:rsidR="008E2017" w:rsidRPr="009A7859" w:rsidRDefault="008E2017" w:rsidP="00FB5488">
            <w:pPr>
              <w:pStyle w:val="Formal1"/>
              <w:rPr>
                <w:rFonts w:asciiTheme="minorHAnsi" w:hAnsiTheme="minorHAnsi" w:cstheme="minorHAnsi"/>
                <w:sz w:val="22"/>
                <w:szCs w:val="22"/>
              </w:rPr>
            </w:pPr>
          </w:p>
        </w:tc>
      </w:tr>
      <w:tr w:rsidR="008E2017" w:rsidRPr="00382C14" w:rsidTr="00683B9E">
        <w:trPr>
          <w:trHeight w:val="620"/>
        </w:trPr>
        <w:tc>
          <w:tcPr>
            <w:tcW w:w="2178" w:type="dxa"/>
          </w:tcPr>
          <w:p w:rsidR="008E2017" w:rsidRPr="008E2017" w:rsidRDefault="008E2017" w:rsidP="008E2017">
            <w:pPr>
              <w:pStyle w:val="ListParagraph"/>
              <w:numPr>
                <w:ilvl w:val="0"/>
                <w:numId w:val="16"/>
              </w:numPr>
              <w:rPr>
                <w:b/>
              </w:rPr>
            </w:pPr>
            <w:r w:rsidRPr="008E2017">
              <w:rPr>
                <w:b/>
              </w:rPr>
              <w:t>Goals of meeting</w:t>
            </w:r>
          </w:p>
        </w:tc>
        <w:tc>
          <w:tcPr>
            <w:tcW w:w="1350" w:type="dxa"/>
          </w:tcPr>
          <w:p w:rsidR="008E2017" w:rsidRPr="00382C14" w:rsidRDefault="008E2017" w:rsidP="00B96C14">
            <w:pPr>
              <w:rPr>
                <w:b/>
              </w:rPr>
            </w:pPr>
            <w:r>
              <w:rPr>
                <w:b/>
              </w:rPr>
              <w:t>Woods</w:t>
            </w:r>
          </w:p>
        </w:tc>
        <w:tc>
          <w:tcPr>
            <w:tcW w:w="5130" w:type="dxa"/>
          </w:tcPr>
          <w:p w:rsidR="001B517B" w:rsidRPr="001B517B" w:rsidRDefault="001B517B" w:rsidP="001B517B">
            <w:pPr>
              <w:pStyle w:val="ListParagraph"/>
              <w:numPr>
                <w:ilvl w:val="0"/>
                <w:numId w:val="2"/>
              </w:numPr>
              <w:rPr>
                <w:rFonts w:cstheme="minorHAnsi"/>
              </w:rPr>
            </w:pPr>
            <w:r w:rsidRPr="001B517B">
              <w:rPr>
                <w:rFonts w:cstheme="minorHAnsi"/>
              </w:rPr>
              <w:t>Project Updates from late starting initiatives:</w:t>
            </w:r>
          </w:p>
          <w:p w:rsidR="001B517B" w:rsidRPr="001B517B" w:rsidRDefault="001B517B" w:rsidP="001B517B">
            <w:pPr>
              <w:pStyle w:val="ListParagraph"/>
              <w:numPr>
                <w:ilvl w:val="1"/>
                <w:numId w:val="2"/>
              </w:numPr>
              <w:ind w:left="792"/>
              <w:rPr>
                <w:rFonts w:cstheme="minorHAnsi"/>
              </w:rPr>
            </w:pPr>
            <w:r w:rsidRPr="001B517B">
              <w:rPr>
                <w:rFonts w:cstheme="minorHAnsi"/>
              </w:rPr>
              <w:t>Accountable Communities</w:t>
            </w:r>
          </w:p>
          <w:p w:rsidR="001B517B" w:rsidRPr="001B517B" w:rsidRDefault="001B517B" w:rsidP="001B517B">
            <w:pPr>
              <w:pStyle w:val="ListParagraph"/>
              <w:numPr>
                <w:ilvl w:val="1"/>
                <w:numId w:val="2"/>
              </w:numPr>
              <w:ind w:left="792"/>
              <w:rPr>
                <w:rFonts w:cstheme="minorHAnsi"/>
              </w:rPr>
            </w:pPr>
            <w:r w:rsidRPr="001B517B">
              <w:rPr>
                <w:rFonts w:cstheme="minorHAnsi"/>
              </w:rPr>
              <w:t>Provider training on Autism Spectrum Disorder and I/DD</w:t>
            </w:r>
          </w:p>
          <w:p w:rsidR="001B517B" w:rsidRPr="001B517B" w:rsidRDefault="001B517B" w:rsidP="001B517B">
            <w:pPr>
              <w:pStyle w:val="ListParagraph"/>
              <w:numPr>
                <w:ilvl w:val="1"/>
                <w:numId w:val="2"/>
              </w:numPr>
              <w:ind w:left="792"/>
              <w:rPr>
                <w:rFonts w:cstheme="minorHAnsi"/>
              </w:rPr>
            </w:pPr>
            <w:r w:rsidRPr="001B517B">
              <w:rPr>
                <w:rFonts w:cstheme="minorHAnsi"/>
              </w:rPr>
              <w:t>MHRT/C Curriculum Development</w:t>
            </w:r>
          </w:p>
          <w:p w:rsidR="001B517B" w:rsidRPr="001B517B" w:rsidRDefault="001B517B" w:rsidP="001B517B">
            <w:pPr>
              <w:pStyle w:val="ListParagraph"/>
              <w:numPr>
                <w:ilvl w:val="0"/>
                <w:numId w:val="2"/>
              </w:numPr>
              <w:rPr>
                <w:rFonts w:cstheme="minorHAnsi"/>
              </w:rPr>
            </w:pPr>
            <w:r w:rsidRPr="001B517B">
              <w:rPr>
                <w:rFonts w:cstheme="minorHAnsi"/>
              </w:rPr>
              <w:t>Rapid Cycle Improvement – Next Steps</w:t>
            </w:r>
          </w:p>
          <w:p w:rsidR="001B517B" w:rsidRPr="001B517B" w:rsidRDefault="001B517B" w:rsidP="001B517B">
            <w:pPr>
              <w:pStyle w:val="ListParagraph"/>
              <w:numPr>
                <w:ilvl w:val="0"/>
                <w:numId w:val="2"/>
              </w:numPr>
              <w:rPr>
                <w:rFonts w:cstheme="minorHAnsi"/>
              </w:rPr>
            </w:pPr>
            <w:r w:rsidRPr="001B517B">
              <w:rPr>
                <w:rFonts w:cstheme="minorHAnsi"/>
              </w:rPr>
              <w:t>Results from Governance Structure Survey</w:t>
            </w:r>
          </w:p>
          <w:p w:rsidR="001B517B" w:rsidRPr="001B517B" w:rsidRDefault="001B517B" w:rsidP="001B517B">
            <w:pPr>
              <w:pStyle w:val="ListParagraph"/>
              <w:numPr>
                <w:ilvl w:val="0"/>
                <w:numId w:val="2"/>
              </w:numPr>
              <w:rPr>
                <w:rFonts w:cstheme="minorHAnsi"/>
              </w:rPr>
            </w:pPr>
            <w:r w:rsidRPr="001B517B">
              <w:rPr>
                <w:rFonts w:cstheme="minorHAnsi"/>
              </w:rPr>
              <w:t>Consumer Interview Tool Review</w:t>
            </w:r>
          </w:p>
          <w:p w:rsidR="008E2017" w:rsidRPr="00A028AE" w:rsidRDefault="008E2017" w:rsidP="001B517B">
            <w:pPr>
              <w:pStyle w:val="ListParagraph"/>
              <w:ind w:left="360"/>
              <w:rPr>
                <w:rFonts w:cstheme="minorHAnsi"/>
              </w:rPr>
            </w:pPr>
          </w:p>
        </w:tc>
        <w:tc>
          <w:tcPr>
            <w:tcW w:w="4604" w:type="dxa"/>
          </w:tcPr>
          <w:p w:rsidR="008E2017" w:rsidRPr="005514B9" w:rsidRDefault="008E2017" w:rsidP="005514B9">
            <w:pPr>
              <w:rPr>
                <w:rFonts w:cstheme="minorHAnsi"/>
              </w:rPr>
            </w:pPr>
          </w:p>
        </w:tc>
      </w:tr>
      <w:tr w:rsidR="009A1CD3" w:rsidRPr="00382C14" w:rsidTr="00683B9E">
        <w:tc>
          <w:tcPr>
            <w:tcW w:w="2178" w:type="dxa"/>
          </w:tcPr>
          <w:p w:rsidR="009A1CD3" w:rsidRPr="008E2017" w:rsidRDefault="009A1CD3" w:rsidP="008E2017">
            <w:pPr>
              <w:pStyle w:val="ListParagraph"/>
              <w:numPr>
                <w:ilvl w:val="0"/>
                <w:numId w:val="16"/>
              </w:numPr>
              <w:rPr>
                <w:b/>
              </w:rPr>
            </w:pPr>
            <w:r>
              <w:rPr>
                <w:b/>
              </w:rPr>
              <w:t xml:space="preserve">Meeting minutes </w:t>
            </w:r>
            <w:r>
              <w:rPr>
                <w:b/>
              </w:rPr>
              <w:lastRenderedPageBreak/>
              <w:t>review</w:t>
            </w:r>
          </w:p>
        </w:tc>
        <w:tc>
          <w:tcPr>
            <w:tcW w:w="1350" w:type="dxa"/>
          </w:tcPr>
          <w:p w:rsidR="009A1CD3" w:rsidRDefault="00533449" w:rsidP="00FB5488">
            <w:pPr>
              <w:rPr>
                <w:b/>
              </w:rPr>
            </w:pPr>
            <w:r>
              <w:rPr>
                <w:b/>
              </w:rPr>
              <w:lastRenderedPageBreak/>
              <w:t>Woods</w:t>
            </w:r>
          </w:p>
        </w:tc>
        <w:tc>
          <w:tcPr>
            <w:tcW w:w="5130" w:type="dxa"/>
          </w:tcPr>
          <w:p w:rsidR="009A1CD3" w:rsidRDefault="00533449" w:rsidP="00B82D48">
            <w:pPr>
              <w:pStyle w:val="ListParagraph"/>
              <w:numPr>
                <w:ilvl w:val="0"/>
                <w:numId w:val="11"/>
              </w:numPr>
              <w:rPr>
                <w:rFonts w:cstheme="minorHAnsi"/>
              </w:rPr>
            </w:pPr>
            <w:r>
              <w:rPr>
                <w:rFonts w:cstheme="minorHAnsi"/>
              </w:rPr>
              <w:t xml:space="preserve">Minutes from the December meeting were </w:t>
            </w:r>
            <w:r>
              <w:rPr>
                <w:rFonts w:cstheme="minorHAnsi"/>
              </w:rPr>
              <w:lastRenderedPageBreak/>
              <w:t>approved without changes.</w:t>
            </w:r>
          </w:p>
          <w:p w:rsidR="00533449" w:rsidRPr="00214DCA" w:rsidRDefault="00533449" w:rsidP="00533449">
            <w:pPr>
              <w:pStyle w:val="ListParagraph"/>
              <w:ind w:left="360"/>
              <w:rPr>
                <w:rFonts w:cstheme="minorHAnsi"/>
              </w:rPr>
            </w:pPr>
          </w:p>
        </w:tc>
        <w:tc>
          <w:tcPr>
            <w:tcW w:w="4604" w:type="dxa"/>
          </w:tcPr>
          <w:p w:rsidR="009A1CD3" w:rsidRPr="00E3623E" w:rsidRDefault="001B517B" w:rsidP="00B10946">
            <w:pPr>
              <w:pStyle w:val="ListParagraph"/>
              <w:numPr>
                <w:ilvl w:val="0"/>
                <w:numId w:val="2"/>
              </w:numPr>
              <w:rPr>
                <w:rFonts w:cstheme="minorHAnsi"/>
              </w:rPr>
            </w:pPr>
            <w:r>
              <w:rPr>
                <w:rFonts w:cstheme="minorHAnsi"/>
              </w:rPr>
              <w:lastRenderedPageBreak/>
              <w:t xml:space="preserve">Lewin will have the minutes posted on the </w:t>
            </w:r>
            <w:r>
              <w:rPr>
                <w:rFonts w:cstheme="minorHAnsi"/>
              </w:rPr>
              <w:lastRenderedPageBreak/>
              <w:t xml:space="preserve">Maine SIM website. </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lastRenderedPageBreak/>
              <w:t xml:space="preserve">Project Update: Accountable Communities </w:t>
            </w:r>
          </w:p>
        </w:tc>
        <w:tc>
          <w:tcPr>
            <w:tcW w:w="1350" w:type="dxa"/>
          </w:tcPr>
          <w:p w:rsidR="008E2017" w:rsidRDefault="009A26C6" w:rsidP="00FB5488">
            <w:pPr>
              <w:rPr>
                <w:b/>
              </w:rPr>
            </w:pPr>
            <w:r>
              <w:rPr>
                <w:b/>
              </w:rPr>
              <w:t>Kraut</w:t>
            </w:r>
          </w:p>
        </w:tc>
        <w:tc>
          <w:tcPr>
            <w:tcW w:w="5130" w:type="dxa"/>
          </w:tcPr>
          <w:p w:rsidR="00B148A2" w:rsidRPr="009C53C6" w:rsidRDefault="00AD5316" w:rsidP="00B82D48">
            <w:pPr>
              <w:pStyle w:val="ListParagraph"/>
              <w:numPr>
                <w:ilvl w:val="0"/>
                <w:numId w:val="11"/>
              </w:numPr>
              <w:rPr>
                <w:rFonts w:cstheme="minorHAnsi"/>
              </w:rPr>
            </w:pPr>
            <w:r w:rsidRPr="009C53C6">
              <w:rPr>
                <w:rFonts w:cstheme="minorHAnsi"/>
              </w:rPr>
              <w:t xml:space="preserve">An update was given to members on the approach and status of the MaineCare Accountable Communities program. </w:t>
            </w:r>
            <w:r w:rsidR="003663FD" w:rsidRPr="009C53C6">
              <w:rPr>
                <w:rFonts w:cstheme="minorHAnsi"/>
              </w:rPr>
              <w:t xml:space="preserve">The first year of implementation was completed in July 2015. For the second year, one of the ACOs has significantly expanded the number of practices participating. This has increased the attributed MaineCare members from 30,000 to 45,000. </w:t>
            </w:r>
            <w:r w:rsidR="009C53C6">
              <w:rPr>
                <w:rFonts w:cstheme="minorHAnsi"/>
              </w:rPr>
              <w:t xml:space="preserve"> </w:t>
            </w:r>
            <w:r w:rsidR="00B148A2" w:rsidRPr="009C53C6">
              <w:rPr>
                <w:rFonts w:cstheme="minorHAnsi"/>
              </w:rPr>
              <w:t xml:space="preserve">Analysis to identify impacts from </w:t>
            </w:r>
            <w:r w:rsidR="00FF734B">
              <w:rPr>
                <w:rFonts w:cstheme="minorHAnsi"/>
              </w:rPr>
              <w:t>year 1 will be forthcoming (May 2016 at the earliest).</w:t>
            </w:r>
          </w:p>
          <w:p w:rsidR="0048452C" w:rsidRPr="00323003" w:rsidRDefault="009C53C6" w:rsidP="00305B46">
            <w:pPr>
              <w:pStyle w:val="ListParagraph"/>
              <w:numPr>
                <w:ilvl w:val="0"/>
                <w:numId w:val="11"/>
              </w:numPr>
            </w:pPr>
            <w:r>
              <w:t xml:space="preserve">The subcommittee members then discussed how </w:t>
            </w:r>
            <w:r w:rsidR="00305B46">
              <w:t>to</w:t>
            </w:r>
            <w:r>
              <w:t xml:space="preserve"> measure which interventions and populations the </w:t>
            </w:r>
            <w:r w:rsidR="00FF734B">
              <w:t xml:space="preserve">AC </w:t>
            </w:r>
            <w:r>
              <w:t>participating providers are using to ensure cost savings. It was noted that about half of new participating practices are also health homes, while in the first year all participants were health homes.</w:t>
            </w:r>
            <w:r w:rsidR="00323003">
              <w:t xml:space="preserve"> Additionally, there are non-medical services that may be implemented to influence cost savings.</w:t>
            </w:r>
          </w:p>
        </w:tc>
        <w:tc>
          <w:tcPr>
            <w:tcW w:w="4604" w:type="dxa"/>
          </w:tcPr>
          <w:p w:rsidR="008E2017" w:rsidRPr="00E3623E" w:rsidRDefault="00FF734B" w:rsidP="00B10946">
            <w:pPr>
              <w:pStyle w:val="ListParagraph"/>
              <w:numPr>
                <w:ilvl w:val="0"/>
                <w:numId w:val="2"/>
              </w:numPr>
              <w:rPr>
                <w:rFonts w:cstheme="minorHAnsi"/>
              </w:rPr>
            </w:pPr>
            <w:r>
              <w:rPr>
                <w:rFonts w:cstheme="minorHAnsi"/>
              </w:rPr>
              <w:t>OCQI/MaineCare/Lewin will coordinate additional discussions regarding how to evaluate AC impacts for the 2016 ME SIM annual evaluation.</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t>Project Update: Provider training on serving youth and adults with Autism Spectrum Disorder and I/DD</w:t>
            </w:r>
          </w:p>
        </w:tc>
        <w:tc>
          <w:tcPr>
            <w:tcW w:w="1350" w:type="dxa"/>
          </w:tcPr>
          <w:p w:rsidR="008E2017" w:rsidRDefault="00323003" w:rsidP="00FB5488">
            <w:pPr>
              <w:rPr>
                <w:b/>
              </w:rPr>
            </w:pPr>
            <w:r>
              <w:rPr>
                <w:b/>
              </w:rPr>
              <w:t>MacDonald</w:t>
            </w:r>
          </w:p>
        </w:tc>
        <w:tc>
          <w:tcPr>
            <w:tcW w:w="5130" w:type="dxa"/>
          </w:tcPr>
          <w:p w:rsidR="00323003" w:rsidRDefault="00323003" w:rsidP="009503BA">
            <w:pPr>
              <w:pStyle w:val="ListParagraph"/>
              <w:numPr>
                <w:ilvl w:val="0"/>
                <w:numId w:val="2"/>
              </w:numPr>
              <w:contextualSpacing/>
              <w:rPr>
                <w:rFonts w:cstheme="minorHAnsi"/>
              </w:rPr>
            </w:pPr>
            <w:r>
              <w:rPr>
                <w:rFonts w:cstheme="minorHAnsi"/>
              </w:rPr>
              <w:t xml:space="preserve">Jen MacDonald gave an update on the effort to improve provider training related to Autism Spectrum Disorder and I/DD. Specifically, the initiative was undertaken to address knowledge and service gaps to ensure providers are able to better serve this patient population. </w:t>
            </w:r>
          </w:p>
          <w:p w:rsidR="00133865" w:rsidRPr="00323003" w:rsidRDefault="00323003" w:rsidP="009503BA">
            <w:pPr>
              <w:pStyle w:val="ListParagraph"/>
              <w:numPr>
                <w:ilvl w:val="0"/>
                <w:numId w:val="2"/>
              </w:numPr>
              <w:contextualSpacing/>
              <w:rPr>
                <w:rFonts w:cstheme="minorHAnsi"/>
              </w:rPr>
            </w:pPr>
            <w:r w:rsidRPr="00323003">
              <w:rPr>
                <w:rFonts w:cstheme="minorHAnsi"/>
              </w:rPr>
              <w:t>Initial research conducted for the initiative indicated that m</w:t>
            </w:r>
            <w:r w:rsidR="0048452C" w:rsidRPr="00323003">
              <w:rPr>
                <w:rFonts w:cstheme="minorHAnsi"/>
              </w:rPr>
              <w:t>ore anti-psychotic med</w:t>
            </w:r>
            <w:r w:rsidRPr="00323003">
              <w:rPr>
                <w:rFonts w:cstheme="minorHAnsi"/>
              </w:rPr>
              <w:t>ication</w:t>
            </w:r>
            <w:r w:rsidR="0048452C" w:rsidRPr="00323003">
              <w:rPr>
                <w:rFonts w:cstheme="minorHAnsi"/>
              </w:rPr>
              <w:t>s</w:t>
            </w:r>
            <w:r w:rsidRPr="00323003">
              <w:rPr>
                <w:rFonts w:cstheme="minorHAnsi"/>
              </w:rPr>
              <w:t xml:space="preserve"> are</w:t>
            </w:r>
            <w:r w:rsidR="0048452C" w:rsidRPr="00323003">
              <w:rPr>
                <w:rFonts w:cstheme="minorHAnsi"/>
              </w:rPr>
              <w:t xml:space="preserve"> prescribed to individuals with </w:t>
            </w:r>
            <w:proofErr w:type="gramStart"/>
            <w:r w:rsidR="0048452C" w:rsidRPr="00323003">
              <w:rPr>
                <w:rFonts w:cstheme="minorHAnsi"/>
              </w:rPr>
              <w:t>I</w:t>
            </w:r>
            <w:r w:rsidR="0000219C">
              <w:rPr>
                <w:rFonts w:cstheme="minorHAnsi"/>
              </w:rPr>
              <w:t>/</w:t>
            </w:r>
            <w:r w:rsidR="0048452C" w:rsidRPr="00323003">
              <w:rPr>
                <w:rFonts w:cstheme="minorHAnsi"/>
              </w:rPr>
              <w:t>DD</w:t>
            </w:r>
            <w:proofErr w:type="gramEnd"/>
            <w:r w:rsidR="0048452C" w:rsidRPr="00323003">
              <w:rPr>
                <w:rFonts w:cstheme="minorHAnsi"/>
              </w:rPr>
              <w:t xml:space="preserve"> than to individuals with psychological condition</w:t>
            </w:r>
            <w:r w:rsidRPr="00323003">
              <w:rPr>
                <w:rFonts w:cstheme="minorHAnsi"/>
              </w:rPr>
              <w:t>s</w:t>
            </w:r>
            <w:r w:rsidR="0048452C" w:rsidRPr="00323003">
              <w:rPr>
                <w:rFonts w:cstheme="minorHAnsi"/>
              </w:rPr>
              <w:t xml:space="preserve"> because </w:t>
            </w:r>
            <w:r w:rsidRPr="00323003">
              <w:rPr>
                <w:rFonts w:cstheme="minorHAnsi"/>
              </w:rPr>
              <w:t xml:space="preserve">they are being used to control behaviors and relieve caregiver stress. </w:t>
            </w:r>
            <w:r w:rsidR="00133865" w:rsidRPr="00323003">
              <w:rPr>
                <w:rFonts w:cstheme="minorHAnsi"/>
              </w:rPr>
              <w:t>Maine is 11</w:t>
            </w:r>
            <w:r w:rsidR="00133865" w:rsidRPr="00323003">
              <w:rPr>
                <w:rFonts w:cstheme="minorHAnsi"/>
                <w:vertAlign w:val="superscript"/>
              </w:rPr>
              <w:t>th</w:t>
            </w:r>
            <w:r w:rsidR="00133865" w:rsidRPr="00323003">
              <w:rPr>
                <w:rFonts w:cstheme="minorHAnsi"/>
              </w:rPr>
              <w:t xml:space="preserve"> in the nation </w:t>
            </w:r>
            <w:r w:rsidR="00133865" w:rsidRPr="00323003">
              <w:rPr>
                <w:rFonts w:cstheme="minorHAnsi"/>
              </w:rPr>
              <w:lastRenderedPageBreak/>
              <w:t>fo</w:t>
            </w:r>
            <w:r>
              <w:rPr>
                <w:rFonts w:cstheme="minorHAnsi"/>
              </w:rPr>
              <w:t>r off-label use of prescription medications.</w:t>
            </w:r>
          </w:p>
          <w:p w:rsidR="00133865" w:rsidRDefault="00323003" w:rsidP="009503BA">
            <w:pPr>
              <w:pStyle w:val="ListParagraph"/>
              <w:numPr>
                <w:ilvl w:val="0"/>
                <w:numId w:val="2"/>
              </w:numPr>
              <w:contextualSpacing/>
              <w:rPr>
                <w:rFonts w:cstheme="minorHAnsi"/>
              </w:rPr>
            </w:pPr>
            <w:r>
              <w:rPr>
                <w:rFonts w:cstheme="minorHAnsi"/>
              </w:rPr>
              <w:t xml:space="preserve">The initiative includes curriculum development to help providers recognize </w:t>
            </w:r>
            <w:r w:rsidR="00133865">
              <w:rPr>
                <w:rFonts w:cstheme="minorHAnsi"/>
              </w:rPr>
              <w:t>common reasons why individuals have behavior issues</w:t>
            </w:r>
            <w:r>
              <w:rPr>
                <w:rFonts w:cstheme="minorHAnsi"/>
              </w:rPr>
              <w:t>. Most significantly, individuals in this population experience pain that they are not able to communicate about.</w:t>
            </w:r>
            <w:r w:rsidR="00EB6167">
              <w:rPr>
                <w:rFonts w:cstheme="minorHAnsi"/>
              </w:rPr>
              <w:t xml:space="preserve"> </w:t>
            </w:r>
          </w:p>
          <w:p w:rsidR="00133865" w:rsidRDefault="00EB6167" w:rsidP="00EB6167">
            <w:pPr>
              <w:pStyle w:val="ListParagraph"/>
              <w:numPr>
                <w:ilvl w:val="0"/>
                <w:numId w:val="2"/>
              </w:numPr>
              <w:contextualSpacing/>
              <w:rPr>
                <w:rFonts w:cstheme="minorHAnsi"/>
              </w:rPr>
            </w:pPr>
            <w:r>
              <w:rPr>
                <w:rFonts w:cstheme="minorHAnsi"/>
              </w:rPr>
              <w:t>The initiative also includes technical assistance, and provider training/workforce development that aim to create expectations for how best to conduct assessments for this population in the care setting. Training to date has been delivered to health homes.</w:t>
            </w:r>
          </w:p>
          <w:p w:rsidR="00F37CE2" w:rsidRPr="009503BA" w:rsidRDefault="00EB6167" w:rsidP="00EB6167">
            <w:pPr>
              <w:pStyle w:val="ListParagraph"/>
              <w:numPr>
                <w:ilvl w:val="0"/>
                <w:numId w:val="2"/>
              </w:numPr>
              <w:contextualSpacing/>
              <w:rPr>
                <w:rFonts w:cstheme="minorHAnsi"/>
              </w:rPr>
            </w:pPr>
            <w:r>
              <w:rPr>
                <w:rFonts w:cstheme="minorHAnsi"/>
              </w:rPr>
              <w:t xml:space="preserve">The subcommittee members discussed how this initiative should be evaluated. MacDonald noted that evaluations are collected </w:t>
            </w:r>
            <w:proofErr w:type="gramStart"/>
            <w:r>
              <w:rPr>
                <w:rFonts w:cstheme="minorHAnsi"/>
              </w:rPr>
              <w:t>after each training</w:t>
            </w:r>
            <w:proofErr w:type="gramEnd"/>
            <w:r>
              <w:rPr>
                <w:rFonts w:cstheme="minorHAnsi"/>
              </w:rPr>
              <w:t xml:space="preserve">. Members suggested provider surveys could assess why providers have or have not implemented changes based on these trainings. </w:t>
            </w:r>
            <w:r w:rsidR="00C7096D">
              <w:rPr>
                <w:rFonts w:cstheme="minorHAnsi"/>
              </w:rPr>
              <w:t>It was explored whether certain diagnoses could be used to measure uptake of improved practices.</w:t>
            </w:r>
          </w:p>
        </w:tc>
        <w:tc>
          <w:tcPr>
            <w:tcW w:w="4604" w:type="dxa"/>
          </w:tcPr>
          <w:p w:rsidR="008E2017" w:rsidRPr="00AA6364" w:rsidRDefault="0000219C" w:rsidP="0000219C">
            <w:pPr>
              <w:pStyle w:val="ListParagraph"/>
              <w:numPr>
                <w:ilvl w:val="0"/>
                <w:numId w:val="2"/>
              </w:numPr>
              <w:rPr>
                <w:rFonts w:cstheme="minorHAnsi"/>
              </w:rPr>
            </w:pPr>
            <w:r>
              <w:rPr>
                <w:rFonts w:cstheme="minorHAnsi"/>
              </w:rPr>
              <w:lastRenderedPageBreak/>
              <w:t>OCQI / Maine Leadership Team will consider committee feedback and provide further direction regarding inclusion of this initiative in the 2016 overall SIM evaluation or if other evaluation methods will be deployed.</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lastRenderedPageBreak/>
              <w:t>Project Update: Mental Health Rehabilitation Technician/Community Certification curriculum development</w:t>
            </w:r>
          </w:p>
        </w:tc>
        <w:tc>
          <w:tcPr>
            <w:tcW w:w="1350" w:type="dxa"/>
          </w:tcPr>
          <w:p w:rsidR="008E2017" w:rsidRDefault="00C7096D" w:rsidP="00FB5488">
            <w:pPr>
              <w:rPr>
                <w:b/>
              </w:rPr>
            </w:pPr>
            <w:r>
              <w:t>Chichester</w:t>
            </w:r>
          </w:p>
        </w:tc>
        <w:tc>
          <w:tcPr>
            <w:tcW w:w="5130" w:type="dxa"/>
          </w:tcPr>
          <w:p w:rsidR="008E2017" w:rsidRDefault="005D66B3" w:rsidP="0001490F">
            <w:pPr>
              <w:pStyle w:val="ListParagraph"/>
              <w:numPr>
                <w:ilvl w:val="0"/>
                <w:numId w:val="3"/>
              </w:numPr>
            </w:pPr>
            <w:r>
              <w:t>The subcommittee was introduced to workforce development activities focused on case managers and coordinators for health homes</w:t>
            </w:r>
            <w:r w:rsidR="00C7096D">
              <w:t xml:space="preserve"> by Catherine Chichester</w:t>
            </w:r>
            <w:r w:rsidR="00F37CE2">
              <w:t xml:space="preserve">. </w:t>
            </w:r>
          </w:p>
          <w:p w:rsidR="008D13C7" w:rsidRDefault="00C7096D" w:rsidP="0001490F">
            <w:pPr>
              <w:pStyle w:val="ListParagraph"/>
              <w:numPr>
                <w:ilvl w:val="0"/>
                <w:numId w:val="3"/>
              </w:numPr>
            </w:pPr>
            <w:r>
              <w:t>The launch of the initiative involved</w:t>
            </w:r>
            <w:r w:rsidR="008D13C7">
              <w:t xml:space="preserve"> a literature review to </w:t>
            </w:r>
            <w:r>
              <w:t xml:space="preserve">identify models </w:t>
            </w:r>
            <w:r w:rsidR="008D13C7">
              <w:t xml:space="preserve">specific to case managers in health home care arrangements. </w:t>
            </w:r>
            <w:r>
              <w:t>This was s</w:t>
            </w:r>
            <w:r w:rsidR="008D13C7">
              <w:t>upplemented with interview</w:t>
            </w:r>
            <w:r>
              <w:t>s of case managers working in health homes</w:t>
            </w:r>
            <w:r w:rsidR="008D13C7">
              <w:t xml:space="preserve"> currently and their supervisors</w:t>
            </w:r>
            <w:r>
              <w:t>.</w:t>
            </w:r>
          </w:p>
          <w:p w:rsidR="005D66B3" w:rsidRDefault="005D66B3" w:rsidP="0001490F">
            <w:pPr>
              <w:pStyle w:val="ListParagraph"/>
              <w:numPr>
                <w:ilvl w:val="0"/>
                <w:numId w:val="3"/>
              </w:numPr>
            </w:pPr>
            <w:r>
              <w:t>A c</w:t>
            </w:r>
            <w:r w:rsidR="008D13C7">
              <w:t xml:space="preserve">ompetency framework </w:t>
            </w:r>
            <w:r>
              <w:t>was then developed</w:t>
            </w:r>
            <w:r w:rsidR="005A2B57">
              <w:t xml:space="preserve"> which has been included for consideration as the </w:t>
            </w:r>
            <w:r w:rsidR="0000219C">
              <w:lastRenderedPageBreak/>
              <w:t xml:space="preserve">MHRT/C certification </w:t>
            </w:r>
            <w:r w:rsidR="005A2B57">
              <w:t>requirements are updated.</w:t>
            </w:r>
          </w:p>
          <w:p w:rsidR="00EB1E75" w:rsidRDefault="005A2B57" w:rsidP="005A2B57">
            <w:pPr>
              <w:pStyle w:val="ListParagraph"/>
              <w:numPr>
                <w:ilvl w:val="0"/>
                <w:numId w:val="3"/>
              </w:numPr>
            </w:pPr>
            <w:r>
              <w:t>In addition to the certification requirements, an open access resource is in development to provide tip sheets to case managers on a range of issues. The goal will to eventually develop a learning management system that allows for the tracking of managers as they move through training resources.</w:t>
            </w:r>
            <w:r w:rsidR="00EB1E75">
              <w:t xml:space="preserve"> </w:t>
            </w:r>
          </w:p>
        </w:tc>
        <w:tc>
          <w:tcPr>
            <w:tcW w:w="4604" w:type="dxa"/>
          </w:tcPr>
          <w:p w:rsidR="008E2017" w:rsidRPr="002518BF" w:rsidRDefault="0000219C" w:rsidP="0000219C">
            <w:pPr>
              <w:pStyle w:val="ListParagraph"/>
              <w:numPr>
                <w:ilvl w:val="0"/>
                <w:numId w:val="3"/>
              </w:numPr>
              <w:contextualSpacing/>
              <w:rPr>
                <w:bCs/>
              </w:rPr>
            </w:pPr>
            <w:r>
              <w:rPr>
                <w:rFonts w:cstheme="minorHAnsi"/>
              </w:rPr>
              <w:lastRenderedPageBreak/>
              <w:t>OCQI / Maine Leadership Team will consider committee feedback and provide further direction regarding inclusion of this initiative in the 2016 overall SIM evaluation or if other evaluation methods will be deployed.</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lastRenderedPageBreak/>
              <w:t>Rapid Cycle Improvement: Next Steps</w:t>
            </w:r>
          </w:p>
        </w:tc>
        <w:tc>
          <w:tcPr>
            <w:tcW w:w="1350" w:type="dxa"/>
          </w:tcPr>
          <w:p w:rsidR="008E2017" w:rsidRDefault="005D66B3" w:rsidP="00FB5488">
            <w:pPr>
              <w:rPr>
                <w:b/>
              </w:rPr>
            </w:pPr>
            <w:r>
              <w:rPr>
                <w:b/>
              </w:rPr>
              <w:t>Yoe</w:t>
            </w:r>
          </w:p>
        </w:tc>
        <w:tc>
          <w:tcPr>
            <w:tcW w:w="5130" w:type="dxa"/>
          </w:tcPr>
          <w:p w:rsidR="00EB1E75" w:rsidRDefault="005D66B3" w:rsidP="005D66B3">
            <w:pPr>
              <w:pStyle w:val="ListParagraph"/>
              <w:numPr>
                <w:ilvl w:val="0"/>
                <w:numId w:val="3"/>
              </w:numPr>
            </w:pPr>
            <w:r>
              <w:t xml:space="preserve">Notes from the break-out Rapid Cycle Improvement discussions during the Annual Meeting are still under review. </w:t>
            </w:r>
          </w:p>
        </w:tc>
        <w:tc>
          <w:tcPr>
            <w:tcW w:w="4604" w:type="dxa"/>
          </w:tcPr>
          <w:p w:rsidR="008E2017" w:rsidRPr="00062B9C" w:rsidRDefault="005D66B3" w:rsidP="002156C8">
            <w:pPr>
              <w:pStyle w:val="ListParagraph"/>
              <w:numPr>
                <w:ilvl w:val="0"/>
                <w:numId w:val="3"/>
              </w:numPr>
              <w:contextualSpacing/>
              <w:rPr>
                <w:bCs/>
              </w:rPr>
            </w:pPr>
            <w:r>
              <w:t>Themes and focus areas being developed for further exploration with the group during future meetings.</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t>Results from Governance Structure Survey</w:t>
            </w:r>
          </w:p>
        </w:tc>
        <w:tc>
          <w:tcPr>
            <w:tcW w:w="1350" w:type="dxa"/>
          </w:tcPr>
          <w:p w:rsidR="008E2017" w:rsidRPr="00382C14" w:rsidRDefault="005D66B3" w:rsidP="00FB5488">
            <w:pPr>
              <w:rPr>
                <w:b/>
              </w:rPr>
            </w:pPr>
            <w:r>
              <w:rPr>
                <w:b/>
              </w:rPr>
              <w:t>Chenard</w:t>
            </w:r>
          </w:p>
        </w:tc>
        <w:tc>
          <w:tcPr>
            <w:tcW w:w="5130" w:type="dxa"/>
          </w:tcPr>
          <w:p w:rsidR="004403E7" w:rsidRPr="00124585" w:rsidRDefault="005D66B3" w:rsidP="005D66B3">
            <w:pPr>
              <w:pStyle w:val="ListParagraph"/>
              <w:numPr>
                <w:ilvl w:val="0"/>
                <w:numId w:val="3"/>
              </w:numPr>
            </w:pPr>
            <w:r>
              <w:t xml:space="preserve">The response to the SIM Governance survey was relatively low. </w:t>
            </w:r>
            <w:r w:rsidR="00EB1E75">
              <w:t>Those who responded found the participation in S</w:t>
            </w:r>
            <w:r>
              <w:t xml:space="preserve">IM governance meaningful, but there was limited detail or ideas for what to improve upon. </w:t>
            </w:r>
          </w:p>
        </w:tc>
        <w:tc>
          <w:tcPr>
            <w:tcW w:w="4604" w:type="dxa"/>
          </w:tcPr>
          <w:p w:rsidR="008E2017" w:rsidRPr="005D66B3" w:rsidRDefault="005D66B3" w:rsidP="005D66B3">
            <w:pPr>
              <w:pStyle w:val="ListParagraph"/>
              <w:numPr>
                <w:ilvl w:val="0"/>
                <w:numId w:val="3"/>
              </w:numPr>
              <w:contextualSpacing/>
              <w:rPr>
                <w:bCs/>
              </w:rPr>
            </w:pPr>
            <w:r>
              <w:t>Steering and Maine Leadership are currently reviewing what the most valuable discussions are to have within/across the governance structure.</w:t>
            </w:r>
          </w:p>
        </w:tc>
      </w:tr>
      <w:tr w:rsidR="008E2017" w:rsidRPr="00382C14" w:rsidTr="00683B9E">
        <w:tc>
          <w:tcPr>
            <w:tcW w:w="2178" w:type="dxa"/>
          </w:tcPr>
          <w:p w:rsidR="008E2017" w:rsidRPr="008E2017" w:rsidRDefault="008E2017" w:rsidP="008E2017">
            <w:pPr>
              <w:pStyle w:val="ListParagraph"/>
              <w:numPr>
                <w:ilvl w:val="0"/>
                <w:numId w:val="16"/>
              </w:numPr>
              <w:rPr>
                <w:b/>
              </w:rPr>
            </w:pPr>
            <w:r w:rsidRPr="008E2017">
              <w:rPr>
                <w:b/>
              </w:rPr>
              <w:t>Consumer Interview Tool Review</w:t>
            </w:r>
          </w:p>
        </w:tc>
        <w:tc>
          <w:tcPr>
            <w:tcW w:w="1350" w:type="dxa"/>
          </w:tcPr>
          <w:p w:rsidR="008E2017" w:rsidRDefault="005A2B57" w:rsidP="00FB5488">
            <w:pPr>
              <w:rPr>
                <w:b/>
              </w:rPr>
            </w:pPr>
            <w:r>
              <w:rPr>
                <w:b/>
              </w:rPr>
              <w:t>Robertson</w:t>
            </w:r>
          </w:p>
        </w:tc>
        <w:tc>
          <w:tcPr>
            <w:tcW w:w="5130" w:type="dxa"/>
          </w:tcPr>
          <w:p w:rsidR="005A2B57" w:rsidRDefault="005A2B57" w:rsidP="004403E7">
            <w:pPr>
              <w:pStyle w:val="ListParagraph"/>
              <w:numPr>
                <w:ilvl w:val="0"/>
                <w:numId w:val="17"/>
              </w:numPr>
            </w:pPr>
            <w:r>
              <w:t>An update was given on preparations for the second round of consumer interviews. Specifically, Market Decisions has proposed the addition of follow up questions in the following areas:</w:t>
            </w:r>
          </w:p>
          <w:p w:rsidR="004B0B09" w:rsidRPr="005A2B57" w:rsidRDefault="005A2B57" w:rsidP="005A2B57">
            <w:pPr>
              <w:pStyle w:val="ListParagraph"/>
              <w:numPr>
                <w:ilvl w:val="1"/>
                <w:numId w:val="17"/>
              </w:numPr>
            </w:pPr>
            <w:r w:rsidRPr="005A2B57">
              <w:t xml:space="preserve">Communications and Patient Engagement </w:t>
            </w:r>
          </w:p>
          <w:p w:rsidR="004B0B09" w:rsidRPr="005A2B57" w:rsidRDefault="005A2B57" w:rsidP="005A2B57">
            <w:pPr>
              <w:pStyle w:val="ListParagraph"/>
              <w:numPr>
                <w:ilvl w:val="1"/>
                <w:numId w:val="17"/>
              </w:numPr>
            </w:pPr>
            <w:r w:rsidRPr="005A2B57">
              <w:t xml:space="preserve">Coordination of Care </w:t>
            </w:r>
          </w:p>
          <w:p w:rsidR="004B0B09" w:rsidRPr="005A2B57" w:rsidRDefault="005A2B57" w:rsidP="005A2B57">
            <w:pPr>
              <w:pStyle w:val="ListParagraph"/>
              <w:numPr>
                <w:ilvl w:val="1"/>
                <w:numId w:val="17"/>
              </w:numPr>
            </w:pPr>
            <w:r w:rsidRPr="005A2B57">
              <w:t>Expectations and Outcomes</w:t>
            </w:r>
          </w:p>
          <w:p w:rsidR="008E2017" w:rsidRDefault="005A2B57" w:rsidP="005A2B57">
            <w:pPr>
              <w:pStyle w:val="ListParagraph"/>
              <w:numPr>
                <w:ilvl w:val="1"/>
                <w:numId w:val="17"/>
              </w:numPr>
            </w:pPr>
            <w:r w:rsidRPr="005A2B57">
              <w:t>General Dissatisfaction</w:t>
            </w:r>
          </w:p>
          <w:p w:rsidR="005A2B57" w:rsidRDefault="005A2B57" w:rsidP="005A2B57">
            <w:pPr>
              <w:pStyle w:val="ListParagraph"/>
              <w:numPr>
                <w:ilvl w:val="0"/>
                <w:numId w:val="17"/>
              </w:numPr>
            </w:pPr>
            <w:r>
              <w:t>Members discussed using consumer representatives on other subcommittees as a resource for a review of the proposed interview tool.</w:t>
            </w:r>
          </w:p>
        </w:tc>
        <w:tc>
          <w:tcPr>
            <w:tcW w:w="4604" w:type="dxa"/>
          </w:tcPr>
          <w:p w:rsidR="008E2017" w:rsidRDefault="00177928" w:rsidP="005A2B57">
            <w:pPr>
              <w:pStyle w:val="ListParagraph"/>
              <w:numPr>
                <w:ilvl w:val="0"/>
                <w:numId w:val="17"/>
              </w:numPr>
            </w:pPr>
            <w:r>
              <w:t xml:space="preserve">Members asked to review proposed changes and offer </w:t>
            </w:r>
            <w:r w:rsidR="005A2B57">
              <w:t xml:space="preserve">written </w:t>
            </w:r>
            <w:r>
              <w:t>feedback before the next meeting</w:t>
            </w:r>
            <w:r w:rsidR="005A2B57">
              <w:t xml:space="preserve"> in February</w:t>
            </w:r>
            <w:r w:rsidR="005D66B3">
              <w:t>.</w:t>
            </w:r>
          </w:p>
          <w:p w:rsidR="005A2B57" w:rsidRPr="005B19DF" w:rsidRDefault="005A2B57" w:rsidP="005A2B57">
            <w:pPr>
              <w:pStyle w:val="ListParagraph"/>
              <w:numPr>
                <w:ilvl w:val="0"/>
                <w:numId w:val="17"/>
              </w:numPr>
            </w:pPr>
            <w:r>
              <w:t>Lewin will coordinate a meeting with consumer representatives to gather their feedback on the interview tool</w:t>
            </w:r>
            <w:r w:rsidR="0000219C">
              <w:t xml:space="preserve"> (scheduled for 1.29.2016)</w:t>
            </w:r>
            <w:r>
              <w:t>.</w:t>
            </w:r>
          </w:p>
        </w:tc>
      </w:tr>
      <w:tr w:rsidR="008E2017" w:rsidRPr="00382C14" w:rsidTr="00683B9E">
        <w:tc>
          <w:tcPr>
            <w:tcW w:w="2178" w:type="dxa"/>
          </w:tcPr>
          <w:p w:rsidR="008E2017" w:rsidRPr="008E2017" w:rsidRDefault="008E2017" w:rsidP="008E2017">
            <w:pPr>
              <w:pStyle w:val="ListParagraph"/>
              <w:numPr>
                <w:ilvl w:val="0"/>
                <w:numId w:val="16"/>
              </w:numPr>
              <w:rPr>
                <w:b/>
              </w:rPr>
            </w:pPr>
            <w:r>
              <w:rPr>
                <w:b/>
              </w:rPr>
              <w:t>Public Comment</w:t>
            </w:r>
          </w:p>
        </w:tc>
        <w:tc>
          <w:tcPr>
            <w:tcW w:w="1350" w:type="dxa"/>
          </w:tcPr>
          <w:p w:rsidR="008E2017" w:rsidRDefault="008E2017" w:rsidP="00FB5488">
            <w:pPr>
              <w:rPr>
                <w:b/>
              </w:rPr>
            </w:pPr>
            <w:r>
              <w:rPr>
                <w:b/>
              </w:rPr>
              <w:t>Woods</w:t>
            </w:r>
          </w:p>
        </w:tc>
        <w:tc>
          <w:tcPr>
            <w:tcW w:w="5130" w:type="dxa"/>
          </w:tcPr>
          <w:p w:rsidR="008E2017" w:rsidRPr="00E20B67" w:rsidRDefault="0000219C" w:rsidP="00E20B67">
            <w:r>
              <w:t>No additional feedback provided</w:t>
            </w:r>
            <w:bookmarkStart w:id="0" w:name="_GoBack"/>
            <w:bookmarkEnd w:id="0"/>
          </w:p>
        </w:tc>
        <w:tc>
          <w:tcPr>
            <w:tcW w:w="4604" w:type="dxa"/>
          </w:tcPr>
          <w:p w:rsidR="008E2017" w:rsidRPr="005B19DF" w:rsidRDefault="008E2017" w:rsidP="00176F0E"/>
        </w:tc>
      </w:tr>
      <w:tr w:rsidR="008E2017" w:rsidRPr="00382C14" w:rsidTr="00683B9E">
        <w:tc>
          <w:tcPr>
            <w:tcW w:w="2178" w:type="dxa"/>
          </w:tcPr>
          <w:p w:rsidR="008E2017" w:rsidRPr="008E2017" w:rsidRDefault="008E2017" w:rsidP="008E2017">
            <w:pPr>
              <w:pStyle w:val="ListParagraph"/>
              <w:numPr>
                <w:ilvl w:val="0"/>
                <w:numId w:val="16"/>
              </w:numPr>
              <w:rPr>
                <w:b/>
              </w:rPr>
            </w:pPr>
            <w:r>
              <w:rPr>
                <w:b/>
              </w:rPr>
              <w:t>Next Steps</w:t>
            </w:r>
          </w:p>
        </w:tc>
        <w:tc>
          <w:tcPr>
            <w:tcW w:w="1350" w:type="dxa"/>
          </w:tcPr>
          <w:p w:rsidR="008E2017" w:rsidRDefault="008E2017" w:rsidP="00FB5488">
            <w:pPr>
              <w:rPr>
                <w:b/>
              </w:rPr>
            </w:pPr>
            <w:r>
              <w:rPr>
                <w:b/>
              </w:rPr>
              <w:t>Woods</w:t>
            </w:r>
          </w:p>
        </w:tc>
        <w:tc>
          <w:tcPr>
            <w:tcW w:w="5130" w:type="dxa"/>
          </w:tcPr>
          <w:p w:rsidR="004B0B09" w:rsidRPr="005A2B57" w:rsidRDefault="005A2B57" w:rsidP="005A2B57">
            <w:pPr>
              <w:pStyle w:val="ListParagraph"/>
              <w:numPr>
                <w:ilvl w:val="0"/>
                <w:numId w:val="22"/>
              </w:numPr>
            </w:pPr>
            <w:r w:rsidRPr="005A2B57">
              <w:t>Next Meeting</w:t>
            </w:r>
            <w:r>
              <w:t xml:space="preserve"> - </w:t>
            </w:r>
            <w:r w:rsidRPr="005A2B57">
              <w:t>February 3,  2016, 2-4 pm</w:t>
            </w:r>
          </w:p>
          <w:p w:rsidR="005A2B57" w:rsidRPr="005A2B57" w:rsidRDefault="005A2B57" w:rsidP="005A2B57">
            <w:pPr>
              <w:ind w:left="720"/>
            </w:pPr>
            <w:r w:rsidRPr="005A2B57">
              <w:t>Pine Tree Room</w:t>
            </w:r>
          </w:p>
          <w:p w:rsidR="005A2B57" w:rsidRDefault="005A2B57" w:rsidP="005A2B57">
            <w:pPr>
              <w:ind w:left="720"/>
            </w:pPr>
            <w:r w:rsidRPr="005A2B57">
              <w:t xml:space="preserve">2 Anthony Avenue, Augusta </w:t>
            </w:r>
          </w:p>
          <w:p w:rsidR="005A2B57" w:rsidRPr="005A2B57" w:rsidRDefault="005A2B57" w:rsidP="005A2B57">
            <w:pPr>
              <w:ind w:left="720"/>
            </w:pPr>
          </w:p>
          <w:p w:rsidR="004B0B09" w:rsidRPr="005A2B57" w:rsidRDefault="005A2B57" w:rsidP="005A2B57">
            <w:pPr>
              <w:pStyle w:val="ListParagraph"/>
              <w:numPr>
                <w:ilvl w:val="0"/>
                <w:numId w:val="22"/>
              </w:numPr>
            </w:pPr>
            <w:r w:rsidRPr="005A2B57">
              <w:lastRenderedPageBreak/>
              <w:t xml:space="preserve">Future Discussion Topics </w:t>
            </w:r>
          </w:p>
          <w:p w:rsidR="004B0B09" w:rsidRPr="005A2B57" w:rsidRDefault="005A2B57" w:rsidP="005A2B57">
            <w:pPr>
              <w:pStyle w:val="ListParagraph"/>
              <w:numPr>
                <w:ilvl w:val="1"/>
                <w:numId w:val="22"/>
              </w:numPr>
            </w:pPr>
            <w:r w:rsidRPr="005A2B57">
              <w:t>Continue Rapid Cycle Improvement Discussions</w:t>
            </w:r>
          </w:p>
          <w:p w:rsidR="004B0B09" w:rsidRPr="005A2B57" w:rsidRDefault="005A2B57" w:rsidP="005A2B57">
            <w:pPr>
              <w:pStyle w:val="ListParagraph"/>
              <w:numPr>
                <w:ilvl w:val="1"/>
                <w:numId w:val="22"/>
              </w:numPr>
            </w:pPr>
            <w:r w:rsidRPr="005A2B57">
              <w:t>Review/revision of Consumer, Provider, Stakeholder interview tools</w:t>
            </w:r>
          </w:p>
          <w:p w:rsidR="004B0B09" w:rsidRPr="005A2B57" w:rsidRDefault="005A2B57" w:rsidP="005A2B57">
            <w:pPr>
              <w:pStyle w:val="ListParagraph"/>
              <w:numPr>
                <w:ilvl w:val="1"/>
                <w:numId w:val="22"/>
              </w:numPr>
            </w:pPr>
            <w:r w:rsidRPr="005A2B57">
              <w:t>Target setting progress for Commercial &amp; Medicare- progress update</w:t>
            </w:r>
          </w:p>
          <w:p w:rsidR="004B0B09" w:rsidRPr="005A2B57" w:rsidRDefault="005A2B57" w:rsidP="005A2B57">
            <w:pPr>
              <w:pStyle w:val="ListParagraph"/>
              <w:numPr>
                <w:ilvl w:val="1"/>
                <w:numId w:val="22"/>
              </w:numPr>
            </w:pPr>
            <w:r w:rsidRPr="005A2B57">
              <w:t>Follow up on clinical data risk and other identified risks as necessary</w:t>
            </w:r>
          </w:p>
          <w:p w:rsidR="008E2017" w:rsidRPr="00E20B67" w:rsidRDefault="008E2017" w:rsidP="00E20B67"/>
        </w:tc>
        <w:tc>
          <w:tcPr>
            <w:tcW w:w="4604" w:type="dxa"/>
          </w:tcPr>
          <w:p w:rsidR="008E2017" w:rsidRPr="005B19DF" w:rsidRDefault="008E2017" w:rsidP="00176F0E"/>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5D66B3">
        <w:rPr>
          <w:rFonts w:eastAsia="Times New Roman" w:cs="Times New Roman"/>
          <w:b/>
        </w:rPr>
        <w:t>February 3</w:t>
      </w:r>
      <w:r w:rsidR="005E6D1A">
        <w:rPr>
          <w:rFonts w:eastAsia="Times New Roman" w:cs="Times New Roman"/>
          <w:b/>
        </w:rPr>
        <w:t>, 2015</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AB76E3"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AB76E3" w:rsidRDefault="00AB76E3" w:rsidP="007857DA">
            <w:pPr>
              <w:rPr>
                <w:rFonts w:asciiTheme="minorHAnsi" w:hAnsiTheme="minorHAnsi"/>
                <w:sz w:val="22"/>
                <w:szCs w:val="22"/>
              </w:rPr>
            </w:pPr>
          </w:p>
          <w:p w:rsidR="00227D1E" w:rsidRPr="00C12966" w:rsidRDefault="00AB76E3" w:rsidP="007857DA">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Pr>
          <w:p w:rsidR="00227D1E" w:rsidRPr="00FF1757" w:rsidRDefault="00135879" w:rsidP="00ED2254">
            <w:pPr>
              <w:rPr>
                <w:rFonts w:asciiTheme="minorHAnsi" w:hAnsiTheme="minorHAnsi"/>
                <w:b/>
                <w:sz w:val="22"/>
                <w:szCs w:val="22"/>
              </w:rPr>
            </w:pPr>
            <w:r>
              <w:rPr>
                <w:rFonts w:asciiTheme="minorHAnsi" w:hAnsiTheme="minorHAnsi"/>
                <w:sz w:val="22"/>
                <w:szCs w:val="22"/>
              </w:rPr>
              <w:t>Resolved</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r w:rsidR="00CD4F0D">
              <w:rPr>
                <w:rFonts w:asciiTheme="minorHAnsi" w:hAnsiTheme="minorHAnsi"/>
              </w:rPr>
              <w:t xml:space="preserve">  Note that Lewin has received Medicare data.</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r w:rsidR="00CD4F0D">
              <w:rPr>
                <w:rFonts w:asciiTheme="minorHAnsi" w:hAnsiTheme="minorHAnsi"/>
              </w:rPr>
              <w:t xml:space="preserve">  Note that Lewin has </w:t>
            </w:r>
            <w:r w:rsidR="00CD4F0D">
              <w:rPr>
                <w:rFonts w:asciiTheme="minorHAnsi" w:hAnsiTheme="minorHAnsi"/>
              </w:rPr>
              <w:lastRenderedPageBreak/>
              <w:t>received commercial data.</w:t>
            </w:r>
          </w:p>
        </w:tc>
        <w:tc>
          <w:tcPr>
            <w:tcW w:w="2073" w:type="dxa"/>
          </w:tcPr>
          <w:p w:rsidR="000A02A6" w:rsidRPr="00F619D3" w:rsidRDefault="000A02A6" w:rsidP="00ED2254">
            <w:pPr>
              <w:rPr>
                <w:rFonts w:asciiTheme="minorHAnsi" w:hAnsiTheme="minorHAnsi"/>
                <w:b/>
              </w:rPr>
            </w:pPr>
            <w:r>
              <w:rPr>
                <w:rFonts w:asciiTheme="minorHAnsi" w:hAnsiTheme="minorHAnsi"/>
              </w:rPr>
              <w:lastRenderedPageBreak/>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lastRenderedPageBreak/>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p w:rsidR="00E20B67" w:rsidRPr="00FF1757" w:rsidRDefault="00E20B67" w:rsidP="00ED2254">
            <w:pPr>
              <w:rPr>
                <w:rFonts w:asciiTheme="minorHAnsi" w:hAnsiTheme="minorHAnsi"/>
                <w:sz w:val="22"/>
                <w:szCs w:val="22"/>
              </w:rPr>
            </w:pPr>
            <w:r>
              <w:rPr>
                <w:rFonts w:asciiTheme="minorHAnsi" w:hAnsiTheme="minorHAnsi"/>
                <w:sz w:val="22"/>
                <w:szCs w:val="22"/>
              </w:rPr>
              <w:t>10/28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EE" w:rsidRDefault="006506EE" w:rsidP="009528AC">
      <w:pPr>
        <w:spacing w:after="0" w:line="240" w:lineRule="auto"/>
      </w:pPr>
      <w:r>
        <w:separator/>
      </w:r>
    </w:p>
  </w:endnote>
  <w:endnote w:type="continuationSeparator" w:id="0">
    <w:p w:rsidR="006506EE" w:rsidRDefault="006506E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305B46">
        <w:pPr>
          <w:pStyle w:val="Footer"/>
          <w:jc w:val="right"/>
          <w:rPr>
            <w:sz w:val="18"/>
            <w:szCs w:val="18"/>
          </w:rPr>
        </w:pPr>
        <w:r>
          <w:rPr>
            <w:sz w:val="18"/>
            <w:szCs w:val="18"/>
          </w:rPr>
          <w:t>January 6</w:t>
        </w:r>
        <w:r w:rsidR="005E6D1A" w:rsidRPr="005E6D1A">
          <w:rPr>
            <w:sz w:val="18"/>
            <w:szCs w:val="18"/>
          </w:rPr>
          <w:t>, 201</w:t>
        </w:r>
        <w:r>
          <w:rPr>
            <w:sz w:val="18"/>
            <w:szCs w:val="18"/>
          </w:rPr>
          <w:t>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00219C">
          <w:rPr>
            <w:noProof/>
            <w:sz w:val="18"/>
            <w:szCs w:val="18"/>
          </w:rPr>
          <w:t>6</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EE" w:rsidRDefault="006506EE" w:rsidP="009528AC">
      <w:pPr>
        <w:spacing w:after="0" w:line="240" w:lineRule="auto"/>
      </w:pPr>
      <w:r>
        <w:separator/>
      </w:r>
    </w:p>
  </w:footnote>
  <w:footnote w:type="continuationSeparator" w:id="0">
    <w:p w:rsidR="006506EE" w:rsidRDefault="006506EE"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00219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1">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4">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7">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8">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9">
    <w:nsid w:val="390F352D"/>
    <w:multiLevelType w:val="hybridMultilevel"/>
    <w:tmpl w:val="1F60F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2">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3">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14">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A94A4C"/>
    <w:multiLevelType w:val="hybridMultilevel"/>
    <w:tmpl w:val="649889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17">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18">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19">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4"/>
  </w:num>
  <w:num w:numId="3">
    <w:abstractNumId w:val="15"/>
  </w:num>
  <w:num w:numId="4">
    <w:abstractNumId w:val="1"/>
  </w:num>
  <w:num w:numId="5">
    <w:abstractNumId w:val="8"/>
  </w:num>
  <w:num w:numId="6">
    <w:abstractNumId w:val="4"/>
  </w:num>
  <w:num w:numId="7">
    <w:abstractNumId w:val="3"/>
  </w:num>
  <w:num w:numId="8">
    <w:abstractNumId w:val="16"/>
  </w:num>
  <w:num w:numId="9">
    <w:abstractNumId w:val="17"/>
  </w:num>
  <w:num w:numId="10">
    <w:abstractNumId w:val="11"/>
  </w:num>
  <w:num w:numId="11">
    <w:abstractNumId w:val="20"/>
  </w:num>
  <w:num w:numId="12">
    <w:abstractNumId w:val="0"/>
  </w:num>
  <w:num w:numId="13">
    <w:abstractNumId w:val="18"/>
  </w:num>
  <w:num w:numId="14">
    <w:abstractNumId w:val="6"/>
  </w:num>
  <w:num w:numId="15">
    <w:abstractNumId w:val="7"/>
  </w:num>
  <w:num w:numId="16">
    <w:abstractNumId w:val="19"/>
  </w:num>
  <w:num w:numId="17">
    <w:abstractNumId w:val="9"/>
  </w:num>
  <w:num w:numId="18">
    <w:abstractNumId w:val="13"/>
  </w:num>
  <w:num w:numId="19">
    <w:abstractNumId w:val="12"/>
  </w:num>
  <w:num w:numId="20">
    <w:abstractNumId w:val="21"/>
  </w:num>
  <w:num w:numId="21">
    <w:abstractNumId w:val="5"/>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1490F"/>
    <w:rsid w:val="000176D6"/>
    <w:rsid w:val="00021782"/>
    <w:rsid w:val="00026C79"/>
    <w:rsid w:val="00027AF4"/>
    <w:rsid w:val="00033E1C"/>
    <w:rsid w:val="00046DB0"/>
    <w:rsid w:val="00047088"/>
    <w:rsid w:val="00051E6B"/>
    <w:rsid w:val="00053DB9"/>
    <w:rsid w:val="00062B9C"/>
    <w:rsid w:val="00066456"/>
    <w:rsid w:val="000714B6"/>
    <w:rsid w:val="000727A3"/>
    <w:rsid w:val="00075B17"/>
    <w:rsid w:val="00086D9D"/>
    <w:rsid w:val="00095E72"/>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65FD"/>
    <w:rsid w:val="001567D4"/>
    <w:rsid w:val="00156D05"/>
    <w:rsid w:val="0016382B"/>
    <w:rsid w:val="00176F0E"/>
    <w:rsid w:val="001774A5"/>
    <w:rsid w:val="00177928"/>
    <w:rsid w:val="001828A9"/>
    <w:rsid w:val="00184A3F"/>
    <w:rsid w:val="00190FD6"/>
    <w:rsid w:val="0019691C"/>
    <w:rsid w:val="00197039"/>
    <w:rsid w:val="0019779D"/>
    <w:rsid w:val="001A2AA7"/>
    <w:rsid w:val="001A3885"/>
    <w:rsid w:val="001B0113"/>
    <w:rsid w:val="001B1456"/>
    <w:rsid w:val="001B517B"/>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5B46"/>
    <w:rsid w:val="00307654"/>
    <w:rsid w:val="00313F23"/>
    <w:rsid w:val="00317BC6"/>
    <w:rsid w:val="00317EB4"/>
    <w:rsid w:val="00320777"/>
    <w:rsid w:val="00320DF3"/>
    <w:rsid w:val="003220C6"/>
    <w:rsid w:val="00323003"/>
    <w:rsid w:val="003234D8"/>
    <w:rsid w:val="00323BDD"/>
    <w:rsid w:val="0032550D"/>
    <w:rsid w:val="00347EEA"/>
    <w:rsid w:val="00354529"/>
    <w:rsid w:val="00365DB9"/>
    <w:rsid w:val="003663FD"/>
    <w:rsid w:val="00366684"/>
    <w:rsid w:val="00370EBC"/>
    <w:rsid w:val="00372121"/>
    <w:rsid w:val="0037241B"/>
    <w:rsid w:val="0037672E"/>
    <w:rsid w:val="00382C14"/>
    <w:rsid w:val="003847D2"/>
    <w:rsid w:val="00387B86"/>
    <w:rsid w:val="003970E1"/>
    <w:rsid w:val="003972B8"/>
    <w:rsid w:val="003A276D"/>
    <w:rsid w:val="003B18D0"/>
    <w:rsid w:val="003B3F0A"/>
    <w:rsid w:val="003C0B6E"/>
    <w:rsid w:val="003D2F31"/>
    <w:rsid w:val="003D480C"/>
    <w:rsid w:val="003D799D"/>
    <w:rsid w:val="003E0CE1"/>
    <w:rsid w:val="003E16CD"/>
    <w:rsid w:val="003E33AF"/>
    <w:rsid w:val="003E5339"/>
    <w:rsid w:val="003E6D4D"/>
    <w:rsid w:val="003E784C"/>
    <w:rsid w:val="003E7C6A"/>
    <w:rsid w:val="003F780E"/>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97A"/>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59FE"/>
    <w:rsid w:val="004A6F00"/>
    <w:rsid w:val="004B0B09"/>
    <w:rsid w:val="004B19FA"/>
    <w:rsid w:val="004B5FB2"/>
    <w:rsid w:val="004B76DC"/>
    <w:rsid w:val="004C0584"/>
    <w:rsid w:val="004C0EA7"/>
    <w:rsid w:val="004C2832"/>
    <w:rsid w:val="004C2A33"/>
    <w:rsid w:val="004C59C2"/>
    <w:rsid w:val="004D349B"/>
    <w:rsid w:val="004D3D29"/>
    <w:rsid w:val="004E21A0"/>
    <w:rsid w:val="004E3B9B"/>
    <w:rsid w:val="004E75B8"/>
    <w:rsid w:val="004F0983"/>
    <w:rsid w:val="004F2914"/>
    <w:rsid w:val="00503704"/>
    <w:rsid w:val="00504887"/>
    <w:rsid w:val="00511D91"/>
    <w:rsid w:val="00513493"/>
    <w:rsid w:val="0051757D"/>
    <w:rsid w:val="00524079"/>
    <w:rsid w:val="00533449"/>
    <w:rsid w:val="00533F6E"/>
    <w:rsid w:val="00534E7A"/>
    <w:rsid w:val="005350A4"/>
    <w:rsid w:val="00535B92"/>
    <w:rsid w:val="00535BD7"/>
    <w:rsid w:val="00536D0A"/>
    <w:rsid w:val="00542DCF"/>
    <w:rsid w:val="00544104"/>
    <w:rsid w:val="00546CAC"/>
    <w:rsid w:val="005514B9"/>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2B57"/>
    <w:rsid w:val="005A7BF9"/>
    <w:rsid w:val="005B19DF"/>
    <w:rsid w:val="005B1B33"/>
    <w:rsid w:val="005B22F4"/>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7F42"/>
    <w:rsid w:val="0061044D"/>
    <w:rsid w:val="00611561"/>
    <w:rsid w:val="0061496B"/>
    <w:rsid w:val="00615DFD"/>
    <w:rsid w:val="006178F5"/>
    <w:rsid w:val="00627A82"/>
    <w:rsid w:val="00627D89"/>
    <w:rsid w:val="006319AD"/>
    <w:rsid w:val="00634623"/>
    <w:rsid w:val="00634B9E"/>
    <w:rsid w:val="00635E57"/>
    <w:rsid w:val="00636E2A"/>
    <w:rsid w:val="00644791"/>
    <w:rsid w:val="006506EE"/>
    <w:rsid w:val="006602B5"/>
    <w:rsid w:val="00664BF0"/>
    <w:rsid w:val="006657B4"/>
    <w:rsid w:val="006743EC"/>
    <w:rsid w:val="0067638B"/>
    <w:rsid w:val="00680536"/>
    <w:rsid w:val="0068420A"/>
    <w:rsid w:val="00685D08"/>
    <w:rsid w:val="00693536"/>
    <w:rsid w:val="0069679D"/>
    <w:rsid w:val="006974E7"/>
    <w:rsid w:val="006A1299"/>
    <w:rsid w:val="006A2882"/>
    <w:rsid w:val="006A4090"/>
    <w:rsid w:val="006B164B"/>
    <w:rsid w:val="006B391C"/>
    <w:rsid w:val="006C04F9"/>
    <w:rsid w:val="006C083C"/>
    <w:rsid w:val="006C2122"/>
    <w:rsid w:val="006C426A"/>
    <w:rsid w:val="006D27DE"/>
    <w:rsid w:val="006D667B"/>
    <w:rsid w:val="006F2FDF"/>
    <w:rsid w:val="006F362D"/>
    <w:rsid w:val="006F4A12"/>
    <w:rsid w:val="0071317C"/>
    <w:rsid w:val="00714D46"/>
    <w:rsid w:val="0071661C"/>
    <w:rsid w:val="007224D3"/>
    <w:rsid w:val="007225CD"/>
    <w:rsid w:val="007233A4"/>
    <w:rsid w:val="00730AD4"/>
    <w:rsid w:val="00730CA7"/>
    <w:rsid w:val="00737F12"/>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7D57"/>
    <w:rsid w:val="008C3EEB"/>
    <w:rsid w:val="008C516A"/>
    <w:rsid w:val="008D12EE"/>
    <w:rsid w:val="008D13C7"/>
    <w:rsid w:val="008D18D1"/>
    <w:rsid w:val="008D3F65"/>
    <w:rsid w:val="008E162A"/>
    <w:rsid w:val="008E19F6"/>
    <w:rsid w:val="008E2017"/>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5216"/>
    <w:rsid w:val="009363E1"/>
    <w:rsid w:val="00941278"/>
    <w:rsid w:val="009454FF"/>
    <w:rsid w:val="009470B3"/>
    <w:rsid w:val="009503BA"/>
    <w:rsid w:val="009528AC"/>
    <w:rsid w:val="00952C2E"/>
    <w:rsid w:val="009569E4"/>
    <w:rsid w:val="0095790E"/>
    <w:rsid w:val="00971CA9"/>
    <w:rsid w:val="00984BD6"/>
    <w:rsid w:val="0099337F"/>
    <w:rsid w:val="009A06B8"/>
    <w:rsid w:val="009A1CD3"/>
    <w:rsid w:val="009A26C6"/>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12C8"/>
    <w:rsid w:val="00A7467D"/>
    <w:rsid w:val="00A77638"/>
    <w:rsid w:val="00A80237"/>
    <w:rsid w:val="00A80B89"/>
    <w:rsid w:val="00A81FC0"/>
    <w:rsid w:val="00A84E7D"/>
    <w:rsid w:val="00A93934"/>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B18BE"/>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077D"/>
    <w:rsid w:val="00DB0AD6"/>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75723"/>
    <w:rsid w:val="00E779CD"/>
    <w:rsid w:val="00E83854"/>
    <w:rsid w:val="00E83E5A"/>
    <w:rsid w:val="00E90849"/>
    <w:rsid w:val="00E91865"/>
    <w:rsid w:val="00E91CC0"/>
    <w:rsid w:val="00E96071"/>
    <w:rsid w:val="00EA7500"/>
    <w:rsid w:val="00EA7E70"/>
    <w:rsid w:val="00EB1E75"/>
    <w:rsid w:val="00EB3D4C"/>
    <w:rsid w:val="00EB6167"/>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37CE2"/>
    <w:rsid w:val="00F45035"/>
    <w:rsid w:val="00F60C73"/>
    <w:rsid w:val="00F61704"/>
    <w:rsid w:val="00F619D3"/>
    <w:rsid w:val="00F61F9E"/>
    <w:rsid w:val="00F63900"/>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477B"/>
    <w:rsid w:val="00FE5354"/>
    <w:rsid w:val="00FE67AE"/>
    <w:rsid w:val="00FF1757"/>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D59F17-16A1-4BEF-B7C6-6437B6A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5</cp:revision>
  <cp:lastPrinted>2014-04-08T15:44:00Z</cp:lastPrinted>
  <dcterms:created xsi:type="dcterms:W3CDTF">2016-01-07T20:53:00Z</dcterms:created>
  <dcterms:modified xsi:type="dcterms:W3CDTF">2016-01-29T14:48:00Z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